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0CE" w:rsidRPr="001130CE" w:rsidRDefault="001130CE" w:rsidP="001130CE">
      <w:pPr>
        <w:pStyle w:val="EOCNM"/>
        <w:numPr>
          <w:ilvl w:val="0"/>
          <w:numId w:val="0"/>
        </w:numPr>
        <w:ind w:left="720" w:hanging="720"/>
        <w:rPr>
          <w:rFonts w:ascii="Times New Roman" w:hAnsi="Times New Roman" w:cs="Times New Roman"/>
        </w:rPr>
      </w:pPr>
      <w:bookmarkStart w:id="0" w:name="_GoBack"/>
      <w:bookmarkEnd w:id="0"/>
      <w:r w:rsidRPr="001130CE">
        <w:rPr>
          <w:rFonts w:ascii="Times New Roman" w:hAnsi="Times New Roman" w:cs="Times New Roman"/>
        </w:rPr>
        <w:t>Presented below are the condensed financial statements for the Magnificent Mountain Company:</w:t>
      </w:r>
    </w:p>
    <w:p w:rsidR="001130CE" w:rsidRPr="001130CE" w:rsidRDefault="001130CE" w:rsidP="001130CE">
      <w:pPr>
        <w:pStyle w:val="EOCNM"/>
        <w:numPr>
          <w:ilvl w:val="0"/>
          <w:numId w:val="0"/>
        </w:numPr>
        <w:ind w:left="720" w:hanging="720"/>
        <w:rPr>
          <w:rFonts w:ascii="Times New Roman" w:hAnsi="Times New Roman" w:cs="Times New Roma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92"/>
        <w:gridCol w:w="1206"/>
        <w:gridCol w:w="1206"/>
      </w:tblGrid>
      <w:tr w:rsidR="001130CE" w:rsidRPr="001130CE" w:rsidTr="003D7AF5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3DFEE"/>
            <w:vAlign w:val="center"/>
          </w:tcPr>
          <w:p w:rsidR="001130CE" w:rsidRPr="001130CE" w:rsidRDefault="001130CE" w:rsidP="003D7AF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3DFEE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>Year 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3DFEE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>Year 1</w:t>
            </w:r>
          </w:p>
        </w:tc>
      </w:tr>
      <w:tr w:rsidR="001130CE" w:rsidRPr="001130CE" w:rsidTr="003D7AF5">
        <w:trPr>
          <w:trHeight w:val="288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>Cash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 xml:space="preserve"> $  12,300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 xml:space="preserve"> $  9,800 </w:t>
            </w:r>
          </w:p>
        </w:tc>
      </w:tr>
      <w:tr w:rsidR="001130CE" w:rsidRPr="001130CE" w:rsidTr="003D7AF5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>Accounts receivable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 xml:space="preserve">       13,750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 xml:space="preserve">       14,700 </w:t>
            </w:r>
          </w:p>
        </w:tc>
      </w:tr>
      <w:tr w:rsidR="001130CE" w:rsidRPr="001130CE" w:rsidTr="003D7AF5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>Inventory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 xml:space="preserve">       16,700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 xml:space="preserve">       14,200 </w:t>
            </w:r>
          </w:p>
        </w:tc>
      </w:tr>
      <w:tr w:rsidR="001130CE" w:rsidRPr="001130CE" w:rsidTr="003D7AF5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>Marketable securities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 xml:space="preserve">       12,950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 xml:space="preserve">       8,700 </w:t>
            </w:r>
          </w:p>
        </w:tc>
      </w:tr>
      <w:tr w:rsidR="001130CE" w:rsidRPr="001130CE" w:rsidTr="003D7AF5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>Equipment, net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  <w:u w:val="single"/>
              </w:rPr>
            </w:pPr>
            <w:r w:rsidRPr="001130CE">
              <w:rPr>
                <w:color w:val="000000"/>
                <w:sz w:val="22"/>
                <w:szCs w:val="22"/>
                <w:u w:val="single"/>
              </w:rPr>
              <w:t xml:space="preserve">  72,500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  <w:u w:val="single"/>
              </w:rPr>
            </w:pPr>
            <w:r w:rsidRPr="001130CE">
              <w:rPr>
                <w:color w:val="000000"/>
                <w:sz w:val="22"/>
                <w:szCs w:val="22"/>
                <w:u w:val="single"/>
              </w:rPr>
              <w:t xml:space="preserve">  77,500 </w:t>
            </w:r>
          </w:p>
        </w:tc>
      </w:tr>
      <w:tr w:rsidR="001130CE" w:rsidRPr="001130CE" w:rsidTr="003D7AF5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>Total assets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  <w:u w:val="double"/>
              </w:rPr>
            </w:pPr>
            <w:r w:rsidRPr="001130CE">
              <w:rPr>
                <w:color w:val="000000"/>
                <w:sz w:val="22"/>
                <w:szCs w:val="22"/>
                <w:u w:val="double"/>
              </w:rPr>
              <w:t xml:space="preserve">$128,200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  <w:u w:val="double"/>
              </w:rPr>
            </w:pPr>
            <w:r w:rsidRPr="001130CE">
              <w:rPr>
                <w:color w:val="000000"/>
                <w:sz w:val="22"/>
                <w:szCs w:val="22"/>
                <w:u w:val="double"/>
              </w:rPr>
              <w:t xml:space="preserve">$124,900 </w:t>
            </w:r>
          </w:p>
        </w:tc>
      </w:tr>
      <w:tr w:rsidR="001130CE" w:rsidRPr="001130CE" w:rsidTr="003D7AF5">
        <w:trPr>
          <w:trHeight w:val="9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1130CE" w:rsidRPr="001130CE" w:rsidTr="003D7AF5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>Accounts payable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 xml:space="preserve"> $  10,500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 xml:space="preserve">$  13,500 </w:t>
            </w:r>
          </w:p>
        </w:tc>
      </w:tr>
      <w:tr w:rsidR="001130CE" w:rsidRPr="001130CE" w:rsidTr="003D7AF5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>Income taxes payable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 xml:space="preserve">       5,000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 xml:space="preserve">       9,650 </w:t>
            </w:r>
          </w:p>
        </w:tc>
      </w:tr>
      <w:tr w:rsidR="001130CE" w:rsidRPr="001130CE" w:rsidTr="003D7AF5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>Common stock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 xml:space="preserve">     58,500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 xml:space="preserve">     54,750 </w:t>
            </w:r>
          </w:p>
        </w:tc>
      </w:tr>
      <w:tr w:rsidR="001130CE" w:rsidRPr="001130CE" w:rsidTr="003D7AF5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30CE" w:rsidRPr="001130CE" w:rsidRDefault="001130CE" w:rsidP="003D7AF5">
            <w:pPr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>Retained earnings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  <w:u w:val="single"/>
              </w:rPr>
            </w:pPr>
            <w:r w:rsidRPr="001130CE">
              <w:rPr>
                <w:color w:val="000000"/>
                <w:sz w:val="22"/>
                <w:szCs w:val="22"/>
                <w:u w:val="single"/>
              </w:rPr>
              <w:t xml:space="preserve">  54,200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  <w:u w:val="single"/>
              </w:rPr>
            </w:pPr>
            <w:r w:rsidRPr="001130CE">
              <w:rPr>
                <w:color w:val="000000"/>
                <w:sz w:val="22"/>
                <w:szCs w:val="22"/>
                <w:u w:val="single"/>
              </w:rPr>
              <w:t xml:space="preserve">    47,000 </w:t>
            </w:r>
          </w:p>
        </w:tc>
      </w:tr>
      <w:tr w:rsidR="001130CE" w:rsidRPr="001130CE" w:rsidTr="003D7AF5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30CE" w:rsidRPr="001130CE" w:rsidRDefault="001130CE" w:rsidP="003D7AF5">
            <w:pPr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>Total liabilities &amp; shareholders' equity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  <w:u w:val="double"/>
              </w:rPr>
            </w:pPr>
            <w:r w:rsidRPr="001130CE">
              <w:rPr>
                <w:color w:val="000000"/>
                <w:sz w:val="22"/>
                <w:szCs w:val="22"/>
                <w:u w:val="double"/>
              </w:rPr>
              <w:t xml:space="preserve">$128,200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  <w:u w:val="double"/>
              </w:rPr>
            </w:pPr>
            <w:r w:rsidRPr="001130CE">
              <w:rPr>
                <w:color w:val="000000"/>
                <w:sz w:val="22"/>
                <w:szCs w:val="22"/>
                <w:u w:val="double"/>
              </w:rPr>
              <w:t xml:space="preserve">$124,900 </w:t>
            </w:r>
          </w:p>
        </w:tc>
      </w:tr>
      <w:tr w:rsidR="001130CE" w:rsidRPr="001130CE" w:rsidTr="003D7AF5">
        <w:trPr>
          <w:trHeight w:val="153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30CE" w:rsidRPr="001130CE" w:rsidRDefault="001130CE" w:rsidP="003D7AF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30CE" w:rsidRPr="001130CE" w:rsidRDefault="001130CE" w:rsidP="003D7AF5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30CE" w:rsidRPr="001130CE" w:rsidTr="003D7AF5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>Sales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 xml:space="preserve"> $145,000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30CE" w:rsidRPr="001130CE" w:rsidTr="003D7AF5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>Cost of goods sold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 xml:space="preserve">       42,000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30CE" w:rsidRPr="001130CE" w:rsidTr="003D7AF5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>Depreciation expense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 xml:space="preserve">       14,700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30CE" w:rsidRPr="001130CE" w:rsidRDefault="001130CE" w:rsidP="003D7AF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30CE" w:rsidRPr="001130CE" w:rsidTr="003D7AF5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>Other operating expenses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1130CE">
            <w:pPr>
              <w:jc w:val="right"/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 xml:space="preserve">       </w:t>
            </w:r>
            <w:r>
              <w:rPr>
                <w:color w:val="000000"/>
                <w:sz w:val="22"/>
                <w:szCs w:val="22"/>
              </w:rPr>
              <w:t>17,800</w:t>
            </w:r>
            <w:r w:rsidRPr="001130CE"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30CE" w:rsidRPr="001130CE" w:rsidRDefault="001130CE" w:rsidP="003D7AF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30CE" w:rsidRPr="001130CE" w:rsidTr="003D7AF5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Interest expense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>6,200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30CE" w:rsidRPr="001130CE" w:rsidRDefault="001130CE" w:rsidP="003D7AF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30CE" w:rsidRPr="001130CE" w:rsidTr="003D7AF5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>Income taxes expense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  <w:u w:val="single"/>
              </w:rPr>
            </w:pPr>
            <w:r w:rsidRPr="001130CE">
              <w:rPr>
                <w:color w:val="000000"/>
                <w:sz w:val="22"/>
                <w:szCs w:val="22"/>
                <w:u w:val="single"/>
              </w:rPr>
              <w:t xml:space="preserve">    15,000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30CE" w:rsidRPr="001130CE" w:rsidRDefault="001130CE" w:rsidP="003D7AF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130CE" w:rsidRPr="001130CE" w:rsidTr="003D7AF5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30CE" w:rsidRPr="001130CE" w:rsidRDefault="001130CE" w:rsidP="003D7AF5">
            <w:pPr>
              <w:rPr>
                <w:color w:val="000000"/>
                <w:sz w:val="22"/>
                <w:szCs w:val="22"/>
              </w:rPr>
            </w:pPr>
            <w:r w:rsidRPr="001130CE">
              <w:rPr>
                <w:color w:val="000000"/>
                <w:sz w:val="22"/>
                <w:szCs w:val="22"/>
              </w:rPr>
              <w:t>Net income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30CE" w:rsidRPr="001130CE" w:rsidRDefault="001130CE" w:rsidP="003D7AF5">
            <w:pPr>
              <w:jc w:val="right"/>
              <w:rPr>
                <w:color w:val="000000"/>
                <w:sz w:val="22"/>
                <w:szCs w:val="22"/>
                <w:u w:val="double"/>
              </w:rPr>
            </w:pPr>
            <w:r w:rsidRPr="001130CE">
              <w:rPr>
                <w:color w:val="000000"/>
                <w:sz w:val="22"/>
                <w:szCs w:val="22"/>
                <w:u w:val="double"/>
              </w:rPr>
              <w:t xml:space="preserve">$  49,300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130CE" w:rsidRPr="001130CE" w:rsidRDefault="001130CE" w:rsidP="003D7AF5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1130CE" w:rsidRPr="001130CE" w:rsidRDefault="001130CE" w:rsidP="001130CE">
      <w:pPr>
        <w:pStyle w:val="EOCNM"/>
        <w:numPr>
          <w:ilvl w:val="0"/>
          <w:numId w:val="0"/>
        </w:numPr>
        <w:ind w:left="720"/>
        <w:rPr>
          <w:rFonts w:ascii="Times New Roman" w:hAnsi="Times New Roman" w:cs="Times New Roman"/>
        </w:rPr>
      </w:pPr>
    </w:p>
    <w:p w:rsidR="001130CE" w:rsidRPr="001130CE" w:rsidRDefault="001130CE" w:rsidP="001130CE">
      <w:pPr>
        <w:pStyle w:val="EOCTX"/>
        <w:numPr>
          <w:ilvl w:val="0"/>
          <w:numId w:val="2"/>
        </w:numPr>
        <w:spacing w:line="240" w:lineRule="auto"/>
        <w:rPr>
          <w:rFonts w:ascii="Times New Roman" w:hAnsi="Times New Roman"/>
          <w:spacing w:val="-2"/>
          <w:sz w:val="22"/>
          <w:szCs w:val="22"/>
        </w:rPr>
      </w:pPr>
      <w:r w:rsidRPr="001130CE">
        <w:rPr>
          <w:rFonts w:ascii="Times New Roman" w:hAnsi="Times New Roman"/>
          <w:spacing w:val="-2"/>
          <w:sz w:val="22"/>
          <w:szCs w:val="22"/>
        </w:rPr>
        <w:t xml:space="preserve">Prepare </w:t>
      </w:r>
      <w:r w:rsidRPr="001130CE">
        <w:rPr>
          <w:rFonts w:ascii="Times New Roman" w:hAnsi="Times New Roman"/>
          <w:sz w:val="22"/>
          <w:szCs w:val="22"/>
        </w:rPr>
        <w:t>Magnificent Mountain</w:t>
      </w:r>
      <w:r w:rsidRPr="001130CE">
        <w:rPr>
          <w:rFonts w:ascii="Times New Roman" w:hAnsi="Times New Roman"/>
          <w:spacing w:val="-2"/>
          <w:sz w:val="22"/>
          <w:szCs w:val="22"/>
        </w:rPr>
        <w:t>'s statement of cash flow for Year 2 using the indirect method.</w:t>
      </w:r>
    </w:p>
    <w:p w:rsidR="00061442" w:rsidRPr="001130CE" w:rsidRDefault="00061442">
      <w:pPr>
        <w:rPr>
          <w:sz w:val="22"/>
          <w:szCs w:val="22"/>
        </w:rPr>
      </w:pPr>
    </w:p>
    <w:p w:rsidR="001130CE" w:rsidRPr="001130CE" w:rsidRDefault="001130CE" w:rsidP="001130CE">
      <w:pPr>
        <w:pStyle w:val="EOCNL"/>
        <w:numPr>
          <w:ilvl w:val="0"/>
          <w:numId w:val="2"/>
        </w:numPr>
        <w:spacing w:line="240" w:lineRule="auto"/>
        <w:rPr>
          <w:rFonts w:ascii="Times New Roman" w:hAnsi="Times New Roman"/>
          <w:sz w:val="22"/>
          <w:szCs w:val="22"/>
        </w:rPr>
      </w:pPr>
      <w:r w:rsidRPr="001130CE">
        <w:rPr>
          <w:rFonts w:ascii="Times New Roman" w:hAnsi="Times New Roman"/>
          <w:sz w:val="22"/>
          <w:szCs w:val="22"/>
        </w:rPr>
        <w:t xml:space="preserve">Calculate the following ratios and measures for Fischer Inc. for Year 2: </w:t>
      </w:r>
    </w:p>
    <w:p w:rsidR="001130CE" w:rsidRPr="001130CE" w:rsidRDefault="001130CE" w:rsidP="001130CE">
      <w:pPr>
        <w:pStyle w:val="ListParagraph"/>
        <w:rPr>
          <w:sz w:val="22"/>
          <w:szCs w:val="22"/>
        </w:rPr>
      </w:pPr>
    </w:p>
    <w:p w:rsidR="001130CE" w:rsidRPr="001130CE" w:rsidRDefault="001130CE" w:rsidP="001130CE">
      <w:pPr>
        <w:pStyle w:val="EOCNL"/>
        <w:spacing w:line="240" w:lineRule="auto"/>
        <w:ind w:left="1800"/>
        <w:rPr>
          <w:rFonts w:ascii="Times New Roman" w:hAnsi="Times New Roman"/>
          <w:sz w:val="22"/>
          <w:szCs w:val="22"/>
        </w:rPr>
      </w:pPr>
    </w:p>
    <w:p w:rsidR="001130CE" w:rsidRPr="001130CE" w:rsidRDefault="001130CE" w:rsidP="001130CE">
      <w:pPr>
        <w:pStyle w:val="EOCNLSUB"/>
        <w:tabs>
          <w:tab w:val="clear" w:pos="1200"/>
        </w:tabs>
        <w:spacing w:line="240" w:lineRule="auto"/>
        <w:ind w:left="1800"/>
        <w:rPr>
          <w:rFonts w:ascii="Times New Roman" w:hAnsi="Times New Roman"/>
          <w:sz w:val="22"/>
          <w:szCs w:val="22"/>
        </w:rPr>
      </w:pPr>
      <w:r w:rsidRPr="001130CE">
        <w:rPr>
          <w:rFonts w:ascii="Times New Roman" w:hAnsi="Times New Roman"/>
          <w:sz w:val="22"/>
          <w:szCs w:val="22"/>
        </w:rPr>
        <w:t>A.</w:t>
      </w:r>
      <w:r w:rsidRPr="001130CE">
        <w:rPr>
          <w:rFonts w:ascii="Times New Roman" w:hAnsi="Times New Roman"/>
          <w:sz w:val="22"/>
          <w:szCs w:val="22"/>
        </w:rPr>
        <w:tab/>
        <w:t>Operating funds ratio</w:t>
      </w:r>
    </w:p>
    <w:p w:rsidR="001130CE" w:rsidRPr="001130CE" w:rsidRDefault="001130CE" w:rsidP="001130CE">
      <w:pPr>
        <w:pStyle w:val="EOCNLSUB"/>
        <w:tabs>
          <w:tab w:val="clear" w:pos="1200"/>
        </w:tabs>
        <w:spacing w:line="240" w:lineRule="auto"/>
        <w:ind w:left="1800"/>
        <w:rPr>
          <w:rFonts w:ascii="Times New Roman" w:hAnsi="Times New Roman"/>
          <w:sz w:val="22"/>
          <w:szCs w:val="22"/>
        </w:rPr>
      </w:pPr>
      <w:r w:rsidRPr="001130CE">
        <w:rPr>
          <w:rFonts w:ascii="Times New Roman" w:hAnsi="Times New Roman"/>
          <w:sz w:val="22"/>
          <w:szCs w:val="22"/>
        </w:rPr>
        <w:t>B.</w:t>
      </w:r>
      <w:r w:rsidRPr="001130CE">
        <w:rPr>
          <w:rFonts w:ascii="Times New Roman" w:hAnsi="Times New Roman"/>
          <w:sz w:val="22"/>
          <w:szCs w:val="22"/>
        </w:rPr>
        <w:tab/>
        <w:t>Operating cash flow-to-current liabilities ratio</w:t>
      </w:r>
    </w:p>
    <w:p w:rsidR="001130CE" w:rsidRPr="001130CE" w:rsidRDefault="001130CE" w:rsidP="001130CE">
      <w:pPr>
        <w:pStyle w:val="EOCNLSUB"/>
        <w:tabs>
          <w:tab w:val="clear" w:pos="1200"/>
          <w:tab w:val="left" w:pos="8640"/>
        </w:tabs>
        <w:spacing w:line="240" w:lineRule="auto"/>
        <w:ind w:left="1800"/>
        <w:rPr>
          <w:rFonts w:ascii="Times New Roman" w:hAnsi="Times New Roman"/>
          <w:sz w:val="22"/>
          <w:szCs w:val="22"/>
        </w:rPr>
      </w:pPr>
      <w:r w:rsidRPr="001130CE">
        <w:rPr>
          <w:rFonts w:ascii="Times New Roman" w:hAnsi="Times New Roman"/>
          <w:sz w:val="22"/>
          <w:szCs w:val="22"/>
        </w:rPr>
        <w:t>C.</w:t>
      </w:r>
      <w:r w:rsidRPr="001130CE">
        <w:rPr>
          <w:rFonts w:ascii="Times New Roman" w:hAnsi="Times New Roman"/>
          <w:sz w:val="22"/>
          <w:szCs w:val="22"/>
        </w:rPr>
        <w:tab/>
        <w:t>Cash conversion ratio</w:t>
      </w:r>
    </w:p>
    <w:p w:rsidR="001130CE" w:rsidRPr="001130CE" w:rsidRDefault="001130CE" w:rsidP="001130CE">
      <w:pPr>
        <w:pStyle w:val="EOCNL"/>
        <w:tabs>
          <w:tab w:val="clear" w:pos="1380"/>
          <w:tab w:val="left" w:pos="1440"/>
        </w:tabs>
        <w:spacing w:line="240" w:lineRule="auto"/>
        <w:ind w:left="1800"/>
        <w:rPr>
          <w:rFonts w:ascii="Times New Roman" w:hAnsi="Times New Roman"/>
          <w:sz w:val="22"/>
          <w:szCs w:val="22"/>
        </w:rPr>
      </w:pPr>
      <w:r w:rsidRPr="001130CE">
        <w:rPr>
          <w:rFonts w:ascii="Times New Roman" w:hAnsi="Times New Roman"/>
          <w:sz w:val="22"/>
          <w:szCs w:val="22"/>
        </w:rPr>
        <w:t>D.</w:t>
      </w:r>
      <w:r w:rsidRPr="001130CE">
        <w:rPr>
          <w:rFonts w:ascii="Times New Roman" w:hAnsi="Times New Roman"/>
          <w:sz w:val="22"/>
          <w:szCs w:val="22"/>
        </w:rPr>
        <w:tab/>
        <w:t>Earnings before interest, taxes, depreciation and amortization (EBITDA)</w:t>
      </w:r>
    </w:p>
    <w:p w:rsidR="001130CE" w:rsidRPr="001130CE" w:rsidRDefault="001130CE" w:rsidP="001130CE">
      <w:pPr>
        <w:pStyle w:val="EOCNLSUB"/>
        <w:tabs>
          <w:tab w:val="clear" w:pos="1200"/>
        </w:tabs>
        <w:spacing w:line="240" w:lineRule="auto"/>
        <w:ind w:left="1800"/>
        <w:rPr>
          <w:rFonts w:ascii="Times New Roman" w:hAnsi="Times New Roman"/>
          <w:sz w:val="22"/>
          <w:szCs w:val="22"/>
        </w:rPr>
      </w:pPr>
      <w:r w:rsidRPr="001130CE">
        <w:rPr>
          <w:rFonts w:ascii="Times New Roman" w:hAnsi="Times New Roman"/>
          <w:sz w:val="22"/>
          <w:szCs w:val="22"/>
        </w:rPr>
        <w:t>E.</w:t>
      </w:r>
      <w:r w:rsidRPr="001130CE">
        <w:rPr>
          <w:rFonts w:ascii="Times New Roman" w:hAnsi="Times New Roman"/>
          <w:sz w:val="22"/>
          <w:szCs w:val="22"/>
        </w:rPr>
        <w:tab/>
        <w:t>Free cash flow</w:t>
      </w:r>
    </w:p>
    <w:p w:rsidR="001130CE" w:rsidRPr="001130CE" w:rsidRDefault="001130CE" w:rsidP="001130CE">
      <w:pPr>
        <w:pStyle w:val="EOCNLSUB"/>
        <w:tabs>
          <w:tab w:val="clear" w:pos="1200"/>
        </w:tabs>
        <w:spacing w:line="240" w:lineRule="auto"/>
        <w:ind w:left="1800"/>
        <w:rPr>
          <w:rFonts w:ascii="Times New Roman" w:hAnsi="Times New Roman"/>
          <w:sz w:val="22"/>
          <w:szCs w:val="22"/>
        </w:rPr>
      </w:pPr>
      <w:r w:rsidRPr="001130CE">
        <w:rPr>
          <w:rFonts w:ascii="Times New Roman" w:hAnsi="Times New Roman"/>
          <w:sz w:val="22"/>
          <w:szCs w:val="22"/>
        </w:rPr>
        <w:t>F.</w:t>
      </w:r>
      <w:r w:rsidRPr="001130CE">
        <w:rPr>
          <w:rFonts w:ascii="Times New Roman" w:hAnsi="Times New Roman"/>
          <w:sz w:val="22"/>
          <w:szCs w:val="22"/>
        </w:rPr>
        <w:tab/>
        <w:t>Discretionary cash flow</w:t>
      </w:r>
    </w:p>
    <w:p w:rsidR="001130CE" w:rsidRDefault="001130CE"/>
    <w:p w:rsidR="001130CE" w:rsidRPr="001130CE" w:rsidRDefault="001130CE" w:rsidP="001130CE">
      <w:pPr>
        <w:pStyle w:val="EOCNL"/>
        <w:tabs>
          <w:tab w:val="left" w:pos="720"/>
        </w:tabs>
        <w:spacing w:line="240" w:lineRule="auto"/>
        <w:ind w:left="720" w:firstLine="0"/>
        <w:jc w:val="both"/>
        <w:rPr>
          <w:rFonts w:ascii="Times New Roman" w:hAnsi="Times New Roman"/>
          <w:sz w:val="22"/>
          <w:szCs w:val="22"/>
        </w:rPr>
      </w:pPr>
      <w:r w:rsidRPr="001130CE">
        <w:rPr>
          <w:rFonts w:ascii="Times New Roman" w:hAnsi="Times New Roman"/>
          <w:sz w:val="22"/>
          <w:szCs w:val="22"/>
        </w:rPr>
        <w:t>What can you conclude about the cash flow health of the Magnificent Mountain Company from the ratios and measures?</w:t>
      </w:r>
    </w:p>
    <w:p w:rsidR="001130CE" w:rsidRDefault="001130CE"/>
    <w:sectPr w:rsidR="001130C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7B55" w:rsidRDefault="00077B55" w:rsidP="001130CE">
      <w:r>
        <w:separator/>
      </w:r>
    </w:p>
  </w:endnote>
  <w:endnote w:type="continuationSeparator" w:id="0">
    <w:p w:rsidR="00077B55" w:rsidRDefault="00077B55" w:rsidP="00113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7B55" w:rsidRDefault="00077B55" w:rsidP="001130CE">
      <w:r>
        <w:separator/>
      </w:r>
    </w:p>
  </w:footnote>
  <w:footnote w:type="continuationSeparator" w:id="0">
    <w:p w:rsidR="00077B55" w:rsidRDefault="00077B55" w:rsidP="00113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30CE" w:rsidRPr="001130CE" w:rsidRDefault="001130CE" w:rsidP="001130CE">
    <w:pPr>
      <w:pStyle w:val="Header"/>
      <w:jc w:val="center"/>
      <w:rPr>
        <w:b/>
        <w:i/>
      </w:rPr>
    </w:pPr>
    <w:r w:rsidRPr="001130CE">
      <w:rPr>
        <w:b/>
        <w:i/>
      </w:rPr>
      <w:t>Cash Flow Case</w:t>
    </w:r>
    <w:r>
      <w:rPr>
        <w:b/>
        <w:i/>
      </w:rPr>
      <w:t xml:space="preserve"> – Spring 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2E3E2B"/>
    <w:multiLevelType w:val="hybridMultilevel"/>
    <w:tmpl w:val="D528045C"/>
    <w:lvl w:ilvl="0" w:tplc="91003320">
      <w:start w:val="1"/>
      <w:numFmt w:val="decimal"/>
      <w:pStyle w:val="EOCNM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9365A5"/>
    <w:multiLevelType w:val="hybridMultilevel"/>
    <w:tmpl w:val="6698318E"/>
    <w:lvl w:ilvl="0" w:tplc="5742E3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0CE"/>
    <w:rsid w:val="00061442"/>
    <w:rsid w:val="00077B55"/>
    <w:rsid w:val="001130CE"/>
    <w:rsid w:val="004D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D80598-76FC-4014-85A3-6272E3B7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0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OCNM">
    <w:name w:val="EOC_NM"/>
    <w:basedOn w:val="Normal"/>
    <w:link w:val="EOCNMChar"/>
    <w:rsid w:val="001130CE"/>
    <w:pPr>
      <w:keepLines/>
      <w:widowControl w:val="0"/>
      <w:numPr>
        <w:numId w:val="1"/>
      </w:numPr>
      <w:tabs>
        <w:tab w:val="left" w:pos="720"/>
      </w:tabs>
      <w:autoSpaceDE w:val="0"/>
      <w:autoSpaceDN w:val="0"/>
      <w:adjustRightInd w:val="0"/>
      <w:jc w:val="both"/>
      <w:textAlignment w:val="center"/>
    </w:pPr>
    <w:rPr>
      <w:rFonts w:ascii="Arial" w:hAnsi="Arial" w:cs="Arial"/>
      <w:color w:val="000000"/>
      <w:sz w:val="22"/>
      <w:szCs w:val="22"/>
    </w:rPr>
  </w:style>
  <w:style w:type="paragraph" w:customStyle="1" w:styleId="EOCTX">
    <w:name w:val="EOC_TX"/>
    <w:basedOn w:val="Normal"/>
    <w:rsid w:val="001130CE"/>
    <w:pPr>
      <w:widowControl w:val="0"/>
      <w:tabs>
        <w:tab w:val="left" w:pos="720"/>
        <w:tab w:val="left" w:pos="1080"/>
      </w:tabs>
      <w:autoSpaceDE w:val="0"/>
      <w:autoSpaceDN w:val="0"/>
      <w:adjustRightInd w:val="0"/>
      <w:spacing w:line="220" w:lineRule="atLeast"/>
      <w:ind w:left="720"/>
      <w:jc w:val="both"/>
      <w:textAlignment w:val="center"/>
    </w:pPr>
    <w:rPr>
      <w:rFonts w:ascii="Times-Roman" w:hAnsi="Times-Roman"/>
      <w:color w:val="000000"/>
      <w:sz w:val="18"/>
      <w:szCs w:val="18"/>
    </w:rPr>
  </w:style>
  <w:style w:type="character" w:customStyle="1" w:styleId="EOCNMChar">
    <w:name w:val="EOC_NM Char"/>
    <w:link w:val="EOCNM"/>
    <w:rsid w:val="001130CE"/>
    <w:rPr>
      <w:rFonts w:ascii="Arial" w:eastAsia="Times New Roman" w:hAnsi="Arial" w:cs="Arial"/>
      <w:color w:val="000000"/>
    </w:rPr>
  </w:style>
  <w:style w:type="paragraph" w:customStyle="1" w:styleId="EOCNL">
    <w:name w:val="EOC_NL"/>
    <w:basedOn w:val="Normal"/>
    <w:rsid w:val="001130CE"/>
    <w:pPr>
      <w:widowControl w:val="0"/>
      <w:tabs>
        <w:tab w:val="right" w:pos="840"/>
        <w:tab w:val="left" w:pos="1380"/>
        <w:tab w:val="right" w:pos="3360"/>
        <w:tab w:val="left" w:pos="3600"/>
        <w:tab w:val="right" w:pos="6000"/>
        <w:tab w:val="left" w:pos="6240"/>
      </w:tabs>
      <w:suppressAutoHyphens/>
      <w:autoSpaceDE w:val="0"/>
      <w:autoSpaceDN w:val="0"/>
      <w:adjustRightInd w:val="0"/>
      <w:spacing w:line="220" w:lineRule="atLeast"/>
      <w:ind w:left="1080" w:hanging="360"/>
      <w:textAlignment w:val="center"/>
    </w:pPr>
    <w:rPr>
      <w:rFonts w:ascii="Times-Roman" w:hAnsi="Times-Roman"/>
      <w:color w:val="000000"/>
      <w:sz w:val="18"/>
      <w:szCs w:val="18"/>
    </w:rPr>
  </w:style>
  <w:style w:type="paragraph" w:customStyle="1" w:styleId="EOCNLSUB">
    <w:name w:val="EOC_NL_SUB"/>
    <w:basedOn w:val="EOCNL"/>
    <w:rsid w:val="001130CE"/>
    <w:pPr>
      <w:tabs>
        <w:tab w:val="clear" w:pos="840"/>
        <w:tab w:val="clear" w:pos="1380"/>
        <w:tab w:val="right" w:pos="1200"/>
      </w:tabs>
      <w:ind w:left="1440"/>
    </w:pPr>
  </w:style>
  <w:style w:type="paragraph" w:styleId="ListParagraph">
    <w:name w:val="List Paragraph"/>
    <w:basedOn w:val="Normal"/>
    <w:uiPriority w:val="34"/>
    <w:qFormat/>
    <w:rsid w:val="001130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30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30C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130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30C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1CE6F18E-207E-4E5A-9C51-6E8164680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Georgia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Wylie Matthews</dc:creator>
  <cp:keywords/>
  <dc:description/>
  <cp:lastModifiedBy>Malm, Adam R</cp:lastModifiedBy>
  <cp:revision>2</cp:revision>
  <dcterms:created xsi:type="dcterms:W3CDTF">2020-02-12T18:54:00Z</dcterms:created>
  <dcterms:modified xsi:type="dcterms:W3CDTF">2020-02-12T18:54:00Z</dcterms:modified>
</cp:coreProperties>
</file>